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2785" w14:textId="164251A6" w:rsidR="00BF095D" w:rsidRDefault="00BF095D" w:rsidP="00BF095D">
      <w:pPr>
        <w:spacing w:line="240" w:lineRule="auto"/>
        <w:jc w:val="center"/>
        <w:rPr>
          <w:rFonts w:ascii="Calibri" w:hAnsi="Calibri" w:cstheme="minorHAnsi"/>
          <w:b/>
          <w:color w:val="000000"/>
          <w:sz w:val="24"/>
          <w:szCs w:val="24"/>
        </w:rPr>
      </w:pPr>
      <w:r>
        <w:rPr>
          <w:rFonts w:ascii="Calibri" w:hAnsi="Calibri" w:cstheme="minorHAnsi"/>
          <w:b/>
          <w:color w:val="000000"/>
          <w:sz w:val="24"/>
          <w:szCs w:val="24"/>
        </w:rPr>
        <w:t xml:space="preserve">District Councillor Update – </w:t>
      </w:r>
      <w:r w:rsidR="000E28C9">
        <w:rPr>
          <w:rFonts w:ascii="Calibri" w:hAnsi="Calibri" w:cstheme="minorHAnsi"/>
          <w:b/>
          <w:color w:val="000000"/>
          <w:sz w:val="24"/>
          <w:szCs w:val="24"/>
        </w:rPr>
        <w:t xml:space="preserve">10 January </w:t>
      </w:r>
      <w:r>
        <w:rPr>
          <w:rFonts w:ascii="Calibri" w:hAnsi="Calibri" w:cstheme="minorHAnsi"/>
          <w:b/>
          <w:color w:val="000000"/>
          <w:sz w:val="24"/>
          <w:szCs w:val="24"/>
        </w:rPr>
        <w:t>202</w:t>
      </w:r>
      <w:r w:rsidR="00712A0F">
        <w:rPr>
          <w:rFonts w:ascii="Calibri" w:hAnsi="Calibri" w:cstheme="minorHAnsi"/>
          <w:b/>
          <w:color w:val="000000"/>
          <w:sz w:val="24"/>
          <w:szCs w:val="24"/>
        </w:rPr>
        <w:t>2 (!)</w:t>
      </w:r>
    </w:p>
    <w:p w14:paraId="501CF88D" w14:textId="77777777" w:rsidR="00BF095D" w:rsidRDefault="00BF095D" w:rsidP="00BF095D">
      <w:pPr>
        <w:spacing w:line="240" w:lineRule="auto"/>
        <w:jc w:val="center"/>
        <w:rPr>
          <w:rFonts w:ascii="Calibri" w:hAnsi="Calibri" w:cstheme="minorHAnsi"/>
          <w:b/>
          <w:color w:val="000000"/>
          <w:sz w:val="24"/>
          <w:szCs w:val="24"/>
        </w:rPr>
      </w:pPr>
      <w:r>
        <w:rPr>
          <w:rFonts w:ascii="Calibri" w:hAnsi="Calibri" w:cstheme="minorHAnsi"/>
          <w:b/>
          <w:color w:val="000000"/>
          <w:sz w:val="24"/>
          <w:szCs w:val="24"/>
        </w:rPr>
        <w:t>Cllr Jo Robb, Cllr Lorraine Hillier</w:t>
      </w:r>
    </w:p>
    <w:p w14:paraId="02780DE5" w14:textId="77777777" w:rsidR="00BF095D" w:rsidRDefault="00BF095D" w:rsidP="00BF095D">
      <w:pPr>
        <w:spacing w:line="240" w:lineRule="auto"/>
        <w:rPr>
          <w:rFonts w:ascii="Calibri" w:hAnsi="Calibri" w:cstheme="minorHAnsi"/>
          <w:b/>
          <w:color w:val="000000"/>
          <w:sz w:val="24"/>
          <w:szCs w:val="24"/>
        </w:rPr>
      </w:pPr>
    </w:p>
    <w:p w14:paraId="4E25A2B5" w14:textId="77777777" w:rsidR="00B67FBB" w:rsidRPr="00D94EB1" w:rsidRDefault="00B67FBB" w:rsidP="00B67FBB">
      <w:pPr>
        <w:spacing w:line="240" w:lineRule="auto"/>
        <w:rPr>
          <w:rFonts w:cstheme="minorHAnsi"/>
          <w:b/>
          <w:bCs/>
          <w:color w:val="000000"/>
          <w:sz w:val="24"/>
          <w:szCs w:val="24"/>
        </w:rPr>
      </w:pPr>
      <w:r w:rsidRPr="00D94EB1">
        <w:rPr>
          <w:rFonts w:cstheme="minorHAnsi"/>
          <w:b/>
          <w:bCs/>
          <w:color w:val="000000"/>
          <w:sz w:val="24"/>
          <w:szCs w:val="24"/>
        </w:rPr>
        <w:t>Local Government Finance Settlement</w:t>
      </w:r>
    </w:p>
    <w:p w14:paraId="03C6E03E" w14:textId="183CCBC1" w:rsidR="008907FB" w:rsidRDefault="00B67FBB" w:rsidP="00B67FBB">
      <w:pPr>
        <w:spacing w:line="240" w:lineRule="auto"/>
        <w:rPr>
          <w:rFonts w:cstheme="minorHAnsi"/>
          <w:color w:val="000000"/>
          <w:sz w:val="24"/>
          <w:szCs w:val="24"/>
        </w:rPr>
      </w:pPr>
      <w:r>
        <w:rPr>
          <w:rFonts w:cstheme="minorHAnsi"/>
          <w:color w:val="000000"/>
          <w:sz w:val="24"/>
          <w:szCs w:val="24"/>
        </w:rPr>
        <w:t xml:space="preserve">The government announced its provisional local government finance settlement </w:t>
      </w:r>
      <w:r w:rsidR="000B161E">
        <w:rPr>
          <w:rFonts w:cstheme="minorHAnsi"/>
          <w:color w:val="000000"/>
          <w:sz w:val="24"/>
          <w:szCs w:val="24"/>
        </w:rPr>
        <w:t>on 16 December</w:t>
      </w:r>
      <w:r w:rsidR="008907FB">
        <w:rPr>
          <w:rFonts w:cstheme="minorHAnsi"/>
          <w:color w:val="000000"/>
          <w:sz w:val="24"/>
          <w:szCs w:val="24"/>
        </w:rPr>
        <w:t>, the</w:t>
      </w:r>
      <w:r>
        <w:rPr>
          <w:rFonts w:cstheme="minorHAnsi"/>
          <w:color w:val="000000"/>
          <w:sz w:val="24"/>
          <w:szCs w:val="24"/>
        </w:rPr>
        <w:t xml:space="preserve"> fourth consecutive one-year settlement</w:t>
      </w:r>
      <w:r w:rsidR="008907FB">
        <w:rPr>
          <w:rFonts w:cstheme="minorHAnsi"/>
          <w:color w:val="000000"/>
          <w:sz w:val="24"/>
          <w:szCs w:val="24"/>
        </w:rPr>
        <w:t xml:space="preserve">. It </w:t>
      </w:r>
      <w:r>
        <w:rPr>
          <w:rFonts w:cstheme="minorHAnsi"/>
          <w:color w:val="000000"/>
          <w:sz w:val="24"/>
          <w:szCs w:val="24"/>
        </w:rPr>
        <w:t xml:space="preserve">amounts to a real-term cut in council funding </w:t>
      </w:r>
      <w:r w:rsidR="000B161E">
        <w:rPr>
          <w:rFonts w:cstheme="minorHAnsi"/>
          <w:color w:val="000000"/>
          <w:sz w:val="24"/>
          <w:szCs w:val="24"/>
        </w:rPr>
        <w:t xml:space="preserve">for SODC and for many other councils around the country. </w:t>
      </w:r>
      <w:r w:rsidR="008907FB">
        <w:rPr>
          <w:rFonts w:cstheme="minorHAnsi"/>
          <w:color w:val="000000"/>
          <w:sz w:val="24"/>
          <w:szCs w:val="24"/>
        </w:rPr>
        <w:t xml:space="preserve">While government has claimed the settlement amounts to a 4% increase in funding, just 1% of this is government funding, the rest requires local authorities to increase council tax by the maximum allowable without a referendum. </w:t>
      </w:r>
    </w:p>
    <w:p w14:paraId="6C042606" w14:textId="77777777" w:rsidR="00B67FBB" w:rsidRDefault="00B67FBB" w:rsidP="00B67FBB">
      <w:pPr>
        <w:spacing w:line="240" w:lineRule="auto"/>
        <w:rPr>
          <w:rFonts w:cstheme="minorHAnsi"/>
          <w:color w:val="000000"/>
          <w:sz w:val="24"/>
          <w:szCs w:val="24"/>
        </w:rPr>
      </w:pPr>
      <w:r>
        <w:rPr>
          <w:rFonts w:cstheme="minorHAnsi"/>
          <w:color w:val="000000"/>
          <w:sz w:val="24"/>
          <w:szCs w:val="24"/>
        </w:rPr>
        <w:t xml:space="preserve">Cllr David </w:t>
      </w:r>
      <w:proofErr w:type="spellStart"/>
      <w:r>
        <w:rPr>
          <w:rFonts w:cstheme="minorHAnsi"/>
          <w:color w:val="000000"/>
          <w:sz w:val="24"/>
          <w:szCs w:val="24"/>
        </w:rPr>
        <w:t>Rouane</w:t>
      </w:r>
      <w:proofErr w:type="spellEnd"/>
      <w:r>
        <w:rPr>
          <w:rFonts w:cstheme="minorHAnsi"/>
          <w:color w:val="000000"/>
          <w:sz w:val="24"/>
          <w:szCs w:val="24"/>
        </w:rPr>
        <w:t xml:space="preserve">, leader of South Oxfordshire District Council, expressed disappointment at the settlement. “Despite the government’s claims of an overall increase in spending, this amounts to a real-terms cut in our finances. Councils like ours around the country are working hard to balance the books – a job that is made significantly more difficult by government cuts and by the lack of any long-term clarity.” </w:t>
      </w:r>
    </w:p>
    <w:p w14:paraId="7633A159" w14:textId="77777777" w:rsidR="00B67FBB" w:rsidRPr="00D94EB1" w:rsidRDefault="00B67FBB" w:rsidP="00B67FBB">
      <w:pPr>
        <w:pStyle w:val="xxmsonormal"/>
        <w:shd w:val="clear" w:color="auto" w:fill="FFFFFF"/>
        <w:rPr>
          <w:rFonts w:asciiTheme="minorHAnsi" w:eastAsiaTheme="minorEastAsia" w:hAnsiTheme="minorHAnsi" w:cstheme="minorHAnsi"/>
          <w:color w:val="000000"/>
          <w:sz w:val="24"/>
          <w:szCs w:val="24"/>
          <w:lang w:eastAsia="en-US"/>
        </w:rPr>
      </w:pPr>
      <w:r w:rsidRPr="00D94EB1">
        <w:rPr>
          <w:rFonts w:asciiTheme="minorHAnsi" w:eastAsiaTheme="minorEastAsia" w:hAnsiTheme="minorHAnsi" w:cstheme="minorHAnsi"/>
          <w:color w:val="000000"/>
          <w:sz w:val="24"/>
          <w:szCs w:val="24"/>
          <w:lang w:eastAsia="en-US"/>
        </w:rPr>
        <w:t xml:space="preserve">“It’s really not clear how the government expects councils to make </w:t>
      </w:r>
      <w:proofErr w:type="gramStart"/>
      <w:r w:rsidRPr="00D94EB1">
        <w:rPr>
          <w:rFonts w:asciiTheme="minorHAnsi" w:eastAsiaTheme="minorEastAsia" w:hAnsiTheme="minorHAnsi" w:cstheme="minorHAnsi"/>
          <w:color w:val="000000"/>
          <w:sz w:val="24"/>
          <w:szCs w:val="24"/>
          <w:lang w:eastAsia="en-US"/>
        </w:rPr>
        <w:t>medium or long term</w:t>
      </w:r>
      <w:proofErr w:type="gramEnd"/>
      <w:r w:rsidRPr="00D94EB1">
        <w:rPr>
          <w:rFonts w:asciiTheme="minorHAnsi" w:eastAsiaTheme="minorEastAsia" w:hAnsiTheme="minorHAnsi" w:cstheme="minorHAnsi"/>
          <w:color w:val="000000"/>
          <w:sz w:val="24"/>
          <w:szCs w:val="24"/>
          <w:lang w:eastAsia="en-US"/>
        </w:rPr>
        <w:t xml:space="preserve"> financial plans when it repeatedly provides one-year settlements – something it began doing long before the pandemic.”</w:t>
      </w:r>
    </w:p>
    <w:p w14:paraId="35C1C633" w14:textId="77777777" w:rsidR="00B67FBB" w:rsidRPr="00D94EB1" w:rsidRDefault="00B67FBB" w:rsidP="00B67FBB">
      <w:pPr>
        <w:pStyle w:val="xxmsonormal"/>
        <w:shd w:val="clear" w:color="auto" w:fill="FFFFFF"/>
        <w:rPr>
          <w:rFonts w:asciiTheme="minorHAnsi" w:eastAsiaTheme="minorEastAsia" w:hAnsiTheme="minorHAnsi" w:cstheme="minorHAnsi"/>
          <w:color w:val="000000"/>
          <w:sz w:val="24"/>
          <w:szCs w:val="24"/>
          <w:lang w:eastAsia="en-US"/>
        </w:rPr>
      </w:pPr>
      <w:r w:rsidRPr="00D94EB1">
        <w:rPr>
          <w:rFonts w:asciiTheme="minorHAnsi" w:eastAsiaTheme="minorEastAsia" w:hAnsiTheme="minorHAnsi" w:cstheme="minorHAnsi"/>
          <w:color w:val="000000"/>
          <w:sz w:val="24"/>
          <w:szCs w:val="24"/>
          <w:lang w:eastAsia="en-US"/>
        </w:rPr>
        <w:t> </w:t>
      </w:r>
    </w:p>
    <w:p w14:paraId="65DD5789" w14:textId="56C2DAE3" w:rsidR="00B67FBB" w:rsidRPr="00D94EB1" w:rsidRDefault="00B67FBB" w:rsidP="00B67FBB">
      <w:pPr>
        <w:pStyle w:val="xxmsonormal"/>
        <w:shd w:val="clear" w:color="auto" w:fill="FFFFFF"/>
        <w:rPr>
          <w:rFonts w:asciiTheme="minorHAnsi" w:eastAsiaTheme="minorEastAsia" w:hAnsiTheme="minorHAnsi" w:cstheme="minorHAnsi"/>
          <w:color w:val="000000"/>
          <w:sz w:val="24"/>
          <w:szCs w:val="24"/>
          <w:lang w:eastAsia="en-US"/>
        </w:rPr>
      </w:pPr>
      <w:r>
        <w:rPr>
          <w:rFonts w:asciiTheme="minorHAnsi" w:eastAsiaTheme="minorEastAsia" w:hAnsiTheme="minorHAnsi" w:cstheme="minorHAnsi"/>
          <w:color w:val="000000"/>
          <w:sz w:val="24"/>
          <w:szCs w:val="24"/>
          <w:lang w:eastAsia="en-US"/>
        </w:rPr>
        <w:t>The</w:t>
      </w:r>
      <w:r w:rsidRPr="00D94EB1">
        <w:rPr>
          <w:rFonts w:asciiTheme="minorHAnsi" w:eastAsiaTheme="minorEastAsia" w:hAnsiTheme="minorHAnsi" w:cstheme="minorHAnsi"/>
          <w:color w:val="000000"/>
          <w:sz w:val="24"/>
          <w:szCs w:val="24"/>
          <w:lang w:eastAsia="en-US"/>
        </w:rPr>
        <w:t xml:space="preserve"> New Homes Bonus </w:t>
      </w:r>
      <w:r>
        <w:rPr>
          <w:rFonts w:asciiTheme="minorHAnsi" w:eastAsiaTheme="minorEastAsia" w:hAnsiTheme="minorHAnsi" w:cstheme="minorHAnsi"/>
          <w:color w:val="000000"/>
          <w:sz w:val="24"/>
          <w:szCs w:val="24"/>
          <w:lang w:eastAsia="en-US"/>
        </w:rPr>
        <w:t>will continue though it’s unclear what will replace it</w:t>
      </w:r>
      <w:r w:rsidR="00C82F26">
        <w:rPr>
          <w:rFonts w:asciiTheme="minorHAnsi" w:eastAsiaTheme="minorEastAsia" w:hAnsiTheme="minorHAnsi" w:cstheme="minorHAnsi"/>
          <w:color w:val="000000"/>
          <w:sz w:val="24"/>
          <w:szCs w:val="24"/>
          <w:lang w:eastAsia="en-US"/>
        </w:rPr>
        <w:t>, adding to the uncertainty around budget setting in future years</w:t>
      </w:r>
      <w:r>
        <w:rPr>
          <w:rFonts w:asciiTheme="minorHAnsi" w:eastAsiaTheme="minorEastAsia" w:hAnsiTheme="minorHAnsi" w:cstheme="minorHAnsi"/>
          <w:color w:val="000000"/>
          <w:sz w:val="24"/>
          <w:szCs w:val="24"/>
          <w:lang w:eastAsia="en-US"/>
        </w:rPr>
        <w:t xml:space="preserve">. The New Homes Bonus is worth </w:t>
      </w:r>
      <w:r w:rsidRPr="00D94EB1">
        <w:rPr>
          <w:rFonts w:asciiTheme="minorHAnsi" w:eastAsiaTheme="minorEastAsia" w:hAnsiTheme="minorHAnsi" w:cstheme="minorHAnsi"/>
          <w:color w:val="000000"/>
          <w:sz w:val="24"/>
          <w:szCs w:val="24"/>
          <w:lang w:eastAsia="en-US"/>
        </w:rPr>
        <w:t>around £2m a year in South Oxfordshire</w:t>
      </w:r>
      <w:r w:rsidR="000B161E">
        <w:rPr>
          <w:rFonts w:asciiTheme="minorHAnsi" w:eastAsiaTheme="minorEastAsia" w:hAnsiTheme="minorHAnsi" w:cstheme="minorHAnsi"/>
          <w:color w:val="000000"/>
          <w:sz w:val="24"/>
          <w:szCs w:val="24"/>
          <w:lang w:eastAsia="en-US"/>
        </w:rPr>
        <w:t xml:space="preserve">. </w:t>
      </w:r>
    </w:p>
    <w:p w14:paraId="777407C5" w14:textId="77777777" w:rsidR="00B67FBB" w:rsidRPr="00D94EB1" w:rsidRDefault="00B67FBB" w:rsidP="00B67FBB">
      <w:pPr>
        <w:pStyle w:val="xxmsonormal"/>
        <w:shd w:val="clear" w:color="auto" w:fill="FFFFFF"/>
        <w:rPr>
          <w:rFonts w:asciiTheme="minorHAnsi" w:eastAsiaTheme="minorEastAsia" w:hAnsiTheme="minorHAnsi" w:cstheme="minorHAnsi"/>
          <w:color w:val="000000"/>
          <w:sz w:val="24"/>
          <w:szCs w:val="24"/>
          <w:lang w:eastAsia="en-US"/>
        </w:rPr>
      </w:pPr>
      <w:r w:rsidRPr="00D94EB1">
        <w:rPr>
          <w:rFonts w:asciiTheme="minorHAnsi" w:eastAsiaTheme="minorEastAsia" w:hAnsiTheme="minorHAnsi" w:cstheme="minorHAnsi"/>
          <w:color w:val="000000"/>
          <w:sz w:val="24"/>
          <w:szCs w:val="24"/>
          <w:lang w:eastAsia="en-US"/>
        </w:rPr>
        <w:t> </w:t>
      </w:r>
    </w:p>
    <w:p w14:paraId="395B0B13" w14:textId="77777777" w:rsidR="00B67FBB" w:rsidRPr="00D94EB1" w:rsidRDefault="00B67FBB" w:rsidP="00B67FBB">
      <w:pPr>
        <w:pStyle w:val="xxmsonormal"/>
        <w:shd w:val="clear" w:color="auto" w:fill="FFFFFF"/>
        <w:rPr>
          <w:rFonts w:asciiTheme="minorHAnsi" w:eastAsiaTheme="minorEastAsia" w:hAnsiTheme="minorHAnsi" w:cstheme="minorHAnsi"/>
          <w:color w:val="000000"/>
          <w:sz w:val="24"/>
          <w:szCs w:val="24"/>
          <w:lang w:eastAsia="en-US"/>
        </w:rPr>
      </w:pPr>
      <w:r w:rsidRPr="00D94EB1">
        <w:rPr>
          <w:rFonts w:asciiTheme="minorHAnsi" w:eastAsiaTheme="minorEastAsia" w:hAnsiTheme="minorHAnsi" w:cstheme="minorHAnsi"/>
          <w:color w:val="000000"/>
          <w:sz w:val="24"/>
          <w:szCs w:val="24"/>
          <w:lang w:eastAsia="en-US"/>
        </w:rPr>
        <w:t xml:space="preserve">The council will be responding to the government’s consultation on the settlement proposals and intends to publish its response </w:t>
      </w:r>
      <w:r>
        <w:rPr>
          <w:rFonts w:asciiTheme="minorHAnsi" w:eastAsiaTheme="minorEastAsia" w:hAnsiTheme="minorHAnsi" w:cstheme="minorHAnsi"/>
          <w:color w:val="000000"/>
          <w:sz w:val="24"/>
          <w:szCs w:val="24"/>
          <w:lang w:eastAsia="en-US"/>
        </w:rPr>
        <w:t>shortly.</w:t>
      </w:r>
    </w:p>
    <w:p w14:paraId="034CF02B" w14:textId="77777777" w:rsidR="000B161E" w:rsidRDefault="000B161E" w:rsidP="00BF095D">
      <w:pPr>
        <w:spacing w:line="240" w:lineRule="auto"/>
        <w:rPr>
          <w:rFonts w:ascii="Calibri" w:hAnsi="Calibri" w:cstheme="minorHAnsi"/>
          <w:b/>
          <w:color w:val="000000"/>
          <w:sz w:val="24"/>
          <w:szCs w:val="24"/>
        </w:rPr>
      </w:pPr>
    </w:p>
    <w:p w14:paraId="52B9C768" w14:textId="17F73F88" w:rsidR="00BF095D" w:rsidRDefault="00BF095D" w:rsidP="00BF095D">
      <w:pPr>
        <w:spacing w:line="240" w:lineRule="auto"/>
        <w:rPr>
          <w:rFonts w:ascii="Calibri" w:hAnsi="Calibri" w:cstheme="minorHAnsi"/>
          <w:b/>
          <w:color w:val="000000"/>
          <w:sz w:val="24"/>
          <w:szCs w:val="24"/>
        </w:rPr>
      </w:pPr>
      <w:r w:rsidRPr="008141C3">
        <w:rPr>
          <w:rFonts w:ascii="Calibri" w:hAnsi="Calibri" w:cstheme="minorHAnsi"/>
          <w:b/>
          <w:color w:val="000000"/>
          <w:sz w:val="24"/>
          <w:szCs w:val="24"/>
        </w:rPr>
        <w:t>Vouchers for residents struggling</w:t>
      </w:r>
    </w:p>
    <w:p w14:paraId="3C23C9FC" w14:textId="7AA5508A" w:rsidR="00BF095D" w:rsidRPr="00D05C43" w:rsidRDefault="00642461" w:rsidP="00BF095D">
      <w:pPr>
        <w:spacing w:line="240" w:lineRule="auto"/>
        <w:rPr>
          <w:rFonts w:ascii="Calibri" w:hAnsi="Calibri" w:cstheme="minorHAnsi"/>
          <w:b/>
          <w:color w:val="000000"/>
          <w:sz w:val="24"/>
          <w:szCs w:val="24"/>
        </w:rPr>
      </w:pPr>
      <w:r>
        <w:rPr>
          <w:rFonts w:ascii="Calibri" w:hAnsi="Calibri" w:cstheme="minorHAnsi"/>
          <w:bCs/>
          <w:color w:val="000000"/>
          <w:sz w:val="24"/>
          <w:szCs w:val="24"/>
        </w:rPr>
        <w:t xml:space="preserve">With the </w:t>
      </w:r>
      <w:proofErr w:type="gramStart"/>
      <w:r>
        <w:rPr>
          <w:rFonts w:ascii="Calibri" w:hAnsi="Calibri" w:cstheme="minorHAnsi"/>
          <w:bCs/>
          <w:color w:val="000000"/>
          <w:sz w:val="24"/>
          <w:szCs w:val="24"/>
        </w:rPr>
        <w:t>cost of living</w:t>
      </w:r>
      <w:proofErr w:type="gramEnd"/>
      <w:r>
        <w:rPr>
          <w:rFonts w:ascii="Calibri" w:hAnsi="Calibri" w:cstheme="minorHAnsi"/>
          <w:bCs/>
          <w:color w:val="000000"/>
          <w:sz w:val="24"/>
          <w:szCs w:val="24"/>
        </w:rPr>
        <w:t xml:space="preserve"> crisis impacting families across the country, a reminder that the Council is </w:t>
      </w:r>
      <w:r w:rsidR="00BF095D" w:rsidRPr="008141C3">
        <w:rPr>
          <w:rFonts w:ascii="Calibri" w:hAnsi="Calibri" w:cstheme="minorHAnsi"/>
          <w:bCs/>
          <w:color w:val="000000"/>
          <w:sz w:val="24"/>
          <w:szCs w:val="24"/>
        </w:rPr>
        <w:t>supporting residents struggling to afford household essentials</w:t>
      </w:r>
      <w:r>
        <w:rPr>
          <w:rFonts w:ascii="Calibri" w:hAnsi="Calibri" w:cstheme="minorHAnsi"/>
          <w:bCs/>
          <w:color w:val="000000"/>
          <w:sz w:val="24"/>
          <w:szCs w:val="24"/>
        </w:rPr>
        <w:t>.</w:t>
      </w:r>
      <w:r w:rsidR="00BF095D" w:rsidRPr="008141C3">
        <w:rPr>
          <w:rFonts w:ascii="Calibri" w:hAnsi="Calibri" w:cstheme="minorHAnsi"/>
          <w:bCs/>
          <w:color w:val="000000"/>
          <w:sz w:val="24"/>
          <w:szCs w:val="24"/>
        </w:rPr>
        <w:br/>
      </w:r>
      <w:r w:rsidR="00BF095D" w:rsidRPr="008141C3">
        <w:rPr>
          <w:rFonts w:ascii="Calibri" w:hAnsi="Calibri" w:cstheme="minorHAnsi"/>
          <w:bCs/>
          <w:color w:val="000000"/>
          <w:sz w:val="24"/>
          <w:szCs w:val="24"/>
        </w:rPr>
        <w:br/>
      </w:r>
      <w:r>
        <w:rPr>
          <w:rFonts w:ascii="Calibri" w:hAnsi="Calibri" w:cstheme="minorHAnsi"/>
          <w:bCs/>
          <w:color w:val="000000"/>
          <w:sz w:val="24"/>
          <w:szCs w:val="24"/>
        </w:rPr>
        <w:t xml:space="preserve">Using money from the Government’s Household Support Fund, we are </w:t>
      </w:r>
      <w:r w:rsidR="00BF095D" w:rsidRPr="008141C3">
        <w:rPr>
          <w:rFonts w:ascii="Calibri" w:hAnsi="Calibri" w:cstheme="minorHAnsi"/>
          <w:bCs/>
          <w:color w:val="000000"/>
          <w:sz w:val="24"/>
          <w:szCs w:val="24"/>
        </w:rPr>
        <w:t>help</w:t>
      </w:r>
      <w:r>
        <w:rPr>
          <w:rFonts w:ascii="Calibri" w:hAnsi="Calibri" w:cstheme="minorHAnsi"/>
          <w:bCs/>
          <w:color w:val="000000"/>
          <w:sz w:val="24"/>
          <w:szCs w:val="24"/>
        </w:rPr>
        <w:t>ing</w:t>
      </w:r>
      <w:r w:rsidR="00BF095D" w:rsidRPr="008141C3">
        <w:rPr>
          <w:rFonts w:ascii="Calibri" w:hAnsi="Calibri" w:cstheme="minorHAnsi"/>
          <w:bCs/>
          <w:color w:val="000000"/>
          <w:sz w:val="24"/>
          <w:szCs w:val="24"/>
        </w:rPr>
        <w:t xml:space="preserve"> pay for vulnerable households’ food, energy, and water bills and other essential household costs.</w:t>
      </w:r>
      <w:r w:rsidRPr="00642461">
        <w:rPr>
          <w:rFonts w:ascii="Calibri" w:hAnsi="Calibri" w:cstheme="minorHAnsi"/>
          <w:bCs/>
          <w:color w:val="000000"/>
          <w:sz w:val="24"/>
          <w:szCs w:val="24"/>
        </w:rPr>
        <w:t xml:space="preserve"> </w:t>
      </w:r>
      <w:r w:rsidR="00BF095D" w:rsidRPr="008141C3">
        <w:rPr>
          <w:rFonts w:ascii="Calibri" w:hAnsi="Calibri" w:cstheme="minorHAnsi"/>
          <w:bCs/>
          <w:color w:val="000000"/>
          <w:sz w:val="24"/>
          <w:szCs w:val="24"/>
        </w:rPr>
        <w:br/>
      </w:r>
      <w:r w:rsidR="00BF095D" w:rsidRPr="008141C3">
        <w:rPr>
          <w:rFonts w:ascii="Calibri" w:hAnsi="Calibri" w:cstheme="minorHAnsi"/>
          <w:bCs/>
          <w:color w:val="000000"/>
          <w:sz w:val="24"/>
          <w:szCs w:val="24"/>
        </w:rPr>
        <w:br/>
        <w:t xml:space="preserve">The funds are </w:t>
      </w:r>
      <w:r>
        <w:rPr>
          <w:rFonts w:ascii="Calibri" w:hAnsi="Calibri" w:cstheme="minorHAnsi"/>
          <w:bCs/>
          <w:color w:val="000000"/>
          <w:sz w:val="24"/>
          <w:szCs w:val="24"/>
        </w:rPr>
        <w:t>not</w:t>
      </w:r>
      <w:r w:rsidR="00BF095D" w:rsidRPr="008141C3">
        <w:rPr>
          <w:rFonts w:ascii="Calibri" w:hAnsi="Calibri" w:cstheme="minorHAnsi"/>
          <w:bCs/>
          <w:color w:val="000000"/>
          <w:sz w:val="24"/>
          <w:szCs w:val="24"/>
        </w:rPr>
        <w:t xml:space="preserve"> restricted to people who receive benefits, and a range of factors are taken into consideration when assessing applications. The </w:t>
      </w:r>
      <w:r>
        <w:rPr>
          <w:rFonts w:ascii="Calibri" w:hAnsi="Calibri" w:cstheme="minorHAnsi"/>
          <w:bCs/>
          <w:color w:val="000000"/>
          <w:sz w:val="24"/>
          <w:szCs w:val="24"/>
        </w:rPr>
        <w:t xml:space="preserve">scheme ends in </w:t>
      </w:r>
      <w:r w:rsidR="00BF095D" w:rsidRPr="008141C3">
        <w:rPr>
          <w:rFonts w:ascii="Calibri" w:hAnsi="Calibri" w:cstheme="minorHAnsi"/>
          <w:bCs/>
          <w:color w:val="000000"/>
          <w:sz w:val="24"/>
          <w:szCs w:val="24"/>
        </w:rPr>
        <w:t xml:space="preserve">March 2022. </w:t>
      </w:r>
      <w:r>
        <w:rPr>
          <w:rFonts w:ascii="Calibri" w:hAnsi="Calibri" w:cstheme="minorHAnsi"/>
          <w:bCs/>
          <w:color w:val="000000"/>
          <w:sz w:val="24"/>
          <w:szCs w:val="24"/>
        </w:rPr>
        <w:t>Please see details on our website:</w:t>
      </w:r>
      <w:r w:rsidR="00BF095D">
        <w:rPr>
          <w:rFonts w:ascii="Calibri" w:hAnsi="Calibri" w:cstheme="minorHAnsi"/>
          <w:bCs/>
          <w:color w:val="000000"/>
          <w:sz w:val="24"/>
          <w:szCs w:val="24"/>
        </w:rPr>
        <w:t xml:space="preserve"> </w:t>
      </w:r>
      <w:hyperlink r:id="rId5" w:history="1">
        <w:r w:rsidR="00BF095D" w:rsidRPr="008141C3">
          <w:rPr>
            <w:color w:val="0000FF"/>
            <w:u w:val="single"/>
          </w:rPr>
          <w:t>Household Support Fund - South Oxfordshire District Council (southoxon.gov.uk)</w:t>
        </w:r>
      </w:hyperlink>
    </w:p>
    <w:p w14:paraId="1F695C79" w14:textId="28C7E70A" w:rsidR="00D94EB1" w:rsidRDefault="00D94EB1" w:rsidP="00BF095D">
      <w:pPr>
        <w:spacing w:line="240" w:lineRule="auto"/>
        <w:rPr>
          <w:rFonts w:ascii="Calibri" w:hAnsi="Calibri" w:cstheme="minorHAnsi"/>
          <w:bCs/>
          <w:color w:val="000000"/>
          <w:sz w:val="24"/>
          <w:szCs w:val="24"/>
        </w:rPr>
      </w:pPr>
      <w:r>
        <w:rPr>
          <w:rFonts w:ascii="Calibri" w:hAnsi="Calibri" w:cstheme="minorHAnsi"/>
          <w:bCs/>
          <w:color w:val="000000"/>
          <w:sz w:val="24"/>
          <w:szCs w:val="24"/>
        </w:rPr>
        <w:t>Please guide your parishioners towards these funds!</w:t>
      </w:r>
    </w:p>
    <w:p w14:paraId="2A5A30BC" w14:textId="77777777" w:rsidR="00C82F26" w:rsidRDefault="00C82F26" w:rsidP="00BF095D">
      <w:pPr>
        <w:spacing w:line="240" w:lineRule="auto"/>
        <w:rPr>
          <w:rFonts w:ascii="Calibri" w:hAnsi="Calibri" w:cstheme="minorHAnsi"/>
          <w:b/>
          <w:color w:val="000000"/>
          <w:sz w:val="24"/>
          <w:szCs w:val="24"/>
        </w:rPr>
      </w:pPr>
    </w:p>
    <w:p w14:paraId="412B713A" w14:textId="0A1A346F" w:rsidR="0022197E" w:rsidRPr="00635737" w:rsidRDefault="00642461" w:rsidP="00BF095D">
      <w:pPr>
        <w:spacing w:line="240" w:lineRule="auto"/>
        <w:rPr>
          <w:rFonts w:ascii="Calibri" w:hAnsi="Calibri" w:cstheme="minorHAnsi"/>
          <w:b/>
          <w:color w:val="000000"/>
          <w:sz w:val="24"/>
          <w:szCs w:val="24"/>
        </w:rPr>
      </w:pPr>
      <w:r w:rsidRPr="00635737">
        <w:rPr>
          <w:rFonts w:ascii="Calibri" w:hAnsi="Calibri" w:cstheme="minorHAnsi"/>
          <w:b/>
          <w:color w:val="000000"/>
          <w:sz w:val="24"/>
          <w:szCs w:val="24"/>
        </w:rPr>
        <w:t>Homelessness in South Oxfordshire</w:t>
      </w:r>
    </w:p>
    <w:p w14:paraId="0284589D" w14:textId="0F8F7F88" w:rsidR="00642461" w:rsidRDefault="00642461" w:rsidP="00BF095D">
      <w:pPr>
        <w:spacing w:line="240" w:lineRule="auto"/>
        <w:rPr>
          <w:rFonts w:ascii="Calibri" w:hAnsi="Calibri" w:cstheme="minorHAnsi"/>
          <w:bCs/>
          <w:color w:val="000000"/>
          <w:sz w:val="24"/>
          <w:szCs w:val="24"/>
        </w:rPr>
      </w:pPr>
      <w:r>
        <w:rPr>
          <w:rFonts w:ascii="Calibri" w:hAnsi="Calibri" w:cstheme="minorHAnsi"/>
          <w:bCs/>
          <w:color w:val="000000"/>
          <w:sz w:val="24"/>
          <w:szCs w:val="24"/>
        </w:rPr>
        <w:t xml:space="preserve">The Council’s housing team worked intensively in the weeks up to Christmas to ensure households at risk of homelessness had sustainable accommodation. </w:t>
      </w:r>
      <w:r w:rsidR="00635737">
        <w:rPr>
          <w:rFonts w:ascii="Calibri" w:hAnsi="Calibri" w:cstheme="minorHAnsi"/>
          <w:bCs/>
          <w:color w:val="000000"/>
          <w:sz w:val="24"/>
          <w:szCs w:val="24"/>
        </w:rPr>
        <w:t xml:space="preserve">Two placements were made over the Christmas period for people with a connection to the Vale of White Horse. </w:t>
      </w:r>
    </w:p>
    <w:p w14:paraId="22C74C24" w14:textId="3CBBC24F" w:rsidR="00D94EB1" w:rsidRDefault="00642461" w:rsidP="00BF095D">
      <w:pPr>
        <w:spacing w:line="240" w:lineRule="auto"/>
        <w:rPr>
          <w:rFonts w:ascii="Calibri" w:hAnsi="Calibri" w:cstheme="minorHAnsi"/>
          <w:bCs/>
          <w:color w:val="000000"/>
          <w:sz w:val="24"/>
          <w:szCs w:val="24"/>
        </w:rPr>
      </w:pPr>
      <w:r>
        <w:rPr>
          <w:rFonts w:ascii="Calibri" w:hAnsi="Calibri" w:cstheme="minorHAnsi"/>
          <w:bCs/>
          <w:color w:val="000000"/>
          <w:sz w:val="24"/>
          <w:szCs w:val="24"/>
        </w:rPr>
        <w:t xml:space="preserve">It is pleasing to report that the number of rough sleepers recorded as of 31 December 2021 was </w:t>
      </w:r>
      <w:r w:rsidRPr="00635737">
        <w:rPr>
          <w:rFonts w:ascii="Calibri" w:hAnsi="Calibri" w:cstheme="minorHAnsi"/>
          <w:b/>
          <w:color w:val="000000"/>
          <w:sz w:val="24"/>
          <w:szCs w:val="24"/>
        </w:rPr>
        <w:t>zero</w:t>
      </w:r>
      <w:r>
        <w:rPr>
          <w:rFonts w:ascii="Calibri" w:hAnsi="Calibri" w:cstheme="minorHAnsi"/>
          <w:bCs/>
          <w:color w:val="000000"/>
          <w:sz w:val="24"/>
          <w:szCs w:val="24"/>
        </w:rPr>
        <w:t xml:space="preserve"> for both South and Vale. This is the first time since 2013 there has been no rough sleeping recorded across both Districts, and is testament to the success of the Councils’ </w:t>
      </w:r>
      <w:r>
        <w:rPr>
          <w:rFonts w:ascii="Calibri" w:hAnsi="Calibri" w:cstheme="minorHAnsi"/>
          <w:bCs/>
          <w:color w:val="000000"/>
          <w:sz w:val="24"/>
          <w:szCs w:val="24"/>
        </w:rPr>
        <w:lastRenderedPageBreak/>
        <w:t>strategy of preventing homelessness</w:t>
      </w:r>
      <w:r w:rsidR="00635737">
        <w:rPr>
          <w:rFonts w:ascii="Calibri" w:hAnsi="Calibri" w:cstheme="minorHAnsi"/>
          <w:bCs/>
          <w:color w:val="000000"/>
          <w:sz w:val="24"/>
          <w:szCs w:val="24"/>
        </w:rPr>
        <w:t xml:space="preserve">. South Oxfordshire was the first council in Oxfordshire to adopt the </w:t>
      </w:r>
      <w:proofErr w:type="spellStart"/>
      <w:r w:rsidR="00635737">
        <w:rPr>
          <w:rFonts w:ascii="Calibri" w:hAnsi="Calibri" w:cstheme="minorHAnsi"/>
          <w:bCs/>
          <w:color w:val="000000"/>
          <w:sz w:val="24"/>
          <w:szCs w:val="24"/>
        </w:rPr>
        <w:t>groundbreaking</w:t>
      </w:r>
      <w:proofErr w:type="spellEnd"/>
      <w:r w:rsidR="00635737">
        <w:rPr>
          <w:rFonts w:ascii="Calibri" w:hAnsi="Calibri" w:cstheme="minorHAnsi"/>
          <w:bCs/>
          <w:color w:val="000000"/>
          <w:sz w:val="24"/>
          <w:szCs w:val="24"/>
        </w:rPr>
        <w:t xml:space="preserve"> Housing</w:t>
      </w:r>
      <w:r w:rsidR="00C82F26">
        <w:rPr>
          <w:rFonts w:ascii="Calibri" w:hAnsi="Calibri" w:cstheme="minorHAnsi"/>
          <w:bCs/>
          <w:color w:val="000000"/>
          <w:sz w:val="24"/>
          <w:szCs w:val="24"/>
        </w:rPr>
        <w:t xml:space="preserve"> First</w:t>
      </w:r>
      <w:r w:rsidR="00635737">
        <w:rPr>
          <w:rFonts w:ascii="Calibri" w:hAnsi="Calibri" w:cstheme="minorHAnsi"/>
          <w:bCs/>
          <w:color w:val="000000"/>
          <w:sz w:val="24"/>
          <w:szCs w:val="24"/>
        </w:rPr>
        <w:t xml:space="preserve"> approach to preventing homelessness, a system that has since been adopted across the county.</w:t>
      </w:r>
    </w:p>
    <w:tbl>
      <w:tblPr>
        <w:tblW w:w="5000" w:type="pct"/>
        <w:jc w:val="center"/>
        <w:tblCellMar>
          <w:top w:w="38" w:type="dxa"/>
          <w:left w:w="38" w:type="dxa"/>
          <w:bottom w:w="38" w:type="dxa"/>
          <w:right w:w="38" w:type="dxa"/>
        </w:tblCellMar>
        <w:tblLook w:val="04A0" w:firstRow="1" w:lastRow="0" w:firstColumn="1" w:lastColumn="0" w:noHBand="0" w:noVBand="1"/>
      </w:tblPr>
      <w:tblGrid>
        <w:gridCol w:w="9026"/>
      </w:tblGrid>
      <w:tr w:rsidR="00BF095D" w:rsidRPr="00E068E4" w14:paraId="794130ED" w14:textId="77777777" w:rsidTr="0082726D">
        <w:trPr>
          <w:jc w:val="center"/>
        </w:trPr>
        <w:tc>
          <w:tcPr>
            <w:tcW w:w="0" w:type="auto"/>
            <w:vAlign w:val="center"/>
            <w:hideMark/>
          </w:tcPr>
          <w:p w14:paraId="610C6ECB" w14:textId="77777777" w:rsidR="00C82F26" w:rsidRDefault="00C82F26"/>
          <w:tbl>
            <w:tblPr>
              <w:tblW w:w="5000" w:type="pct"/>
              <w:tblCellMar>
                <w:left w:w="0" w:type="dxa"/>
                <w:right w:w="0" w:type="dxa"/>
              </w:tblCellMar>
              <w:tblLook w:val="04A0" w:firstRow="1" w:lastRow="0" w:firstColumn="1" w:lastColumn="0" w:noHBand="0" w:noVBand="1"/>
            </w:tblPr>
            <w:tblGrid>
              <w:gridCol w:w="8950"/>
            </w:tblGrid>
            <w:tr w:rsidR="00BF095D" w:rsidRPr="00E068E4" w14:paraId="2D3B9C20" w14:textId="77777777" w:rsidTr="0082726D">
              <w:tc>
                <w:tcPr>
                  <w:tcW w:w="0" w:type="auto"/>
                  <w:vAlign w:val="center"/>
                  <w:hideMark/>
                </w:tcPr>
                <w:p w14:paraId="7E5F4283" w14:textId="77777777" w:rsidR="00BF095D" w:rsidRPr="009F4A11" w:rsidRDefault="00BF095D" w:rsidP="0082726D">
                  <w:pPr>
                    <w:spacing w:line="240" w:lineRule="auto"/>
                    <w:rPr>
                      <w:rFonts w:ascii="Calibri" w:hAnsi="Calibri" w:cstheme="minorHAnsi"/>
                      <w:b/>
                      <w:color w:val="000000"/>
                      <w:sz w:val="24"/>
                      <w:szCs w:val="24"/>
                    </w:rPr>
                  </w:pPr>
                  <w:r w:rsidRPr="009F4A11">
                    <w:rPr>
                      <w:rFonts w:ascii="Calibri" w:hAnsi="Calibri" w:cstheme="minorHAnsi"/>
                      <w:b/>
                      <w:color w:val="000000"/>
                      <w:sz w:val="24"/>
                      <w:szCs w:val="24"/>
                    </w:rPr>
                    <w:t>Garden Waste Collections</w:t>
                  </w:r>
                </w:p>
                <w:p w14:paraId="3A2CA2D5" w14:textId="550483F5" w:rsidR="00635737" w:rsidRDefault="00635737" w:rsidP="0082726D">
                  <w:pPr>
                    <w:spacing w:line="240" w:lineRule="auto"/>
                    <w:rPr>
                      <w:rFonts w:ascii="Calibri" w:hAnsi="Calibri" w:cstheme="minorHAnsi"/>
                      <w:bCs/>
                      <w:color w:val="000000"/>
                      <w:sz w:val="24"/>
                      <w:szCs w:val="24"/>
                    </w:rPr>
                  </w:pPr>
                  <w:r>
                    <w:rPr>
                      <w:rFonts w:ascii="Calibri" w:hAnsi="Calibri" w:cstheme="minorHAnsi"/>
                      <w:bCs/>
                      <w:color w:val="000000"/>
                      <w:sz w:val="24"/>
                      <w:szCs w:val="24"/>
                    </w:rPr>
                    <w:t>A reminder that w</w:t>
                  </w:r>
                  <w:r w:rsidR="00BF095D">
                    <w:rPr>
                      <w:rFonts w:ascii="Calibri" w:hAnsi="Calibri" w:cstheme="minorHAnsi"/>
                      <w:bCs/>
                      <w:color w:val="000000"/>
                      <w:sz w:val="24"/>
                      <w:szCs w:val="24"/>
                    </w:rPr>
                    <w:t xml:space="preserve">e are now able to start taking on new customers for the garden waste service.  Anyone interested should go to </w:t>
                  </w:r>
                  <w:hyperlink r:id="rId6" w:history="1">
                    <w:r w:rsidR="00BF095D" w:rsidRPr="009F4A11">
                      <w:rPr>
                        <w:rStyle w:val="Hyperlink"/>
                        <w:rFonts w:ascii="Calibri" w:hAnsi="Calibri" w:cstheme="minorHAnsi"/>
                        <w:bCs/>
                        <w:sz w:val="24"/>
                        <w:szCs w:val="24"/>
                      </w:rPr>
                      <w:t>https://www.southoxon.gov.uk/south-oxfordshire-district-council/recycling-rubbish-and-waste/garden-waste/</w:t>
                    </w:r>
                  </w:hyperlink>
                </w:p>
                <w:p w14:paraId="57FD9C11" w14:textId="77777777" w:rsidR="00C82F26" w:rsidRDefault="00C82F26" w:rsidP="0082726D">
                  <w:pPr>
                    <w:spacing w:line="240" w:lineRule="auto"/>
                    <w:rPr>
                      <w:rFonts w:ascii="Calibri" w:hAnsi="Calibri" w:cstheme="minorHAnsi"/>
                      <w:b/>
                      <w:color w:val="000000"/>
                      <w:sz w:val="24"/>
                      <w:szCs w:val="24"/>
                    </w:rPr>
                  </w:pPr>
                </w:p>
                <w:p w14:paraId="0C40D35C" w14:textId="35033B10" w:rsidR="00635737" w:rsidRPr="00413AB9" w:rsidRDefault="00635737" w:rsidP="0082726D">
                  <w:pPr>
                    <w:spacing w:line="240" w:lineRule="auto"/>
                    <w:rPr>
                      <w:rFonts w:ascii="Calibri" w:hAnsi="Calibri" w:cstheme="minorHAnsi"/>
                      <w:b/>
                      <w:color w:val="000000"/>
                      <w:sz w:val="24"/>
                      <w:szCs w:val="24"/>
                    </w:rPr>
                  </w:pPr>
                  <w:r w:rsidRPr="00413AB9">
                    <w:rPr>
                      <w:rFonts w:ascii="Calibri" w:hAnsi="Calibri" w:cstheme="minorHAnsi"/>
                      <w:b/>
                      <w:color w:val="000000"/>
                      <w:sz w:val="24"/>
                      <w:szCs w:val="24"/>
                    </w:rPr>
                    <w:t>Parental Leave Policy</w:t>
                  </w:r>
                </w:p>
                <w:p w14:paraId="7E866C29" w14:textId="130A2C0C" w:rsidR="00635737" w:rsidRDefault="00635737" w:rsidP="0082726D">
                  <w:pPr>
                    <w:spacing w:line="240" w:lineRule="auto"/>
                    <w:rPr>
                      <w:rFonts w:eastAsia="Times New Roman" w:cstheme="minorHAnsi"/>
                      <w:sz w:val="24"/>
                      <w:szCs w:val="24"/>
                    </w:rPr>
                  </w:pPr>
                  <w:r w:rsidRPr="00635737">
                    <w:rPr>
                      <w:rFonts w:ascii="Calibri" w:hAnsi="Calibri" w:cstheme="minorHAnsi"/>
                      <w:bCs/>
                      <w:color w:val="000000"/>
                      <w:sz w:val="24"/>
                      <w:szCs w:val="24"/>
                    </w:rPr>
                    <w:t xml:space="preserve">Following </w:t>
                  </w:r>
                  <w:r>
                    <w:rPr>
                      <w:rFonts w:ascii="Calibri" w:hAnsi="Calibri" w:cstheme="minorHAnsi"/>
                      <w:bCs/>
                      <w:color w:val="000000"/>
                      <w:sz w:val="24"/>
                      <w:szCs w:val="24"/>
                    </w:rPr>
                    <w:t xml:space="preserve">similar </w:t>
                  </w:r>
                  <w:r w:rsidRPr="00635737">
                    <w:rPr>
                      <w:rFonts w:ascii="Calibri" w:hAnsi="Calibri" w:cstheme="minorHAnsi"/>
                      <w:bCs/>
                      <w:color w:val="000000"/>
                      <w:sz w:val="24"/>
                      <w:szCs w:val="24"/>
                    </w:rPr>
                    <w:t xml:space="preserve">moves by councils across the </w:t>
                  </w:r>
                  <w:r w:rsidRPr="00635737">
                    <w:rPr>
                      <w:rFonts w:cstheme="minorHAnsi"/>
                      <w:bCs/>
                      <w:sz w:val="24"/>
                      <w:szCs w:val="24"/>
                    </w:rPr>
                    <w:t xml:space="preserve">country, South Oxfordshire District Council has adopted a new policy on parental leave for councillors. The </w:t>
                  </w:r>
                  <w:r w:rsidRPr="00635737">
                    <w:rPr>
                      <w:rFonts w:eastAsia="Times New Roman" w:cstheme="minorHAnsi"/>
                      <w:sz w:val="24"/>
                      <w:szCs w:val="24"/>
                    </w:rPr>
                    <w:t xml:space="preserve">policy aims to provide a positive </w:t>
                  </w:r>
                  <w:r w:rsidR="00D94EB1">
                    <w:rPr>
                      <w:rFonts w:eastAsia="Times New Roman" w:cstheme="minorHAnsi"/>
                      <w:sz w:val="24"/>
                      <w:szCs w:val="24"/>
                    </w:rPr>
                    <w:t xml:space="preserve">and supportive </w:t>
                  </w:r>
                  <w:r w:rsidRPr="00635737">
                    <w:rPr>
                      <w:rFonts w:eastAsia="Times New Roman" w:cstheme="minorHAnsi"/>
                      <w:sz w:val="24"/>
                      <w:szCs w:val="24"/>
                    </w:rPr>
                    <w:t>environment for members with family responsibilities.  It will help to ensure members are representative of our community, contribute towards increasing the diversity of experience, age and background of councillors, and also help us to retain experienced councillors</w:t>
                  </w:r>
                  <w:r>
                    <w:rPr>
                      <w:rFonts w:eastAsia="Times New Roman" w:cstheme="minorHAnsi"/>
                      <w:sz w:val="24"/>
                      <w:szCs w:val="24"/>
                    </w:rPr>
                    <w:t>. The new policy was agreed by council at the Full Council meeting on 9 December</w:t>
                  </w:r>
                  <w:r w:rsidR="00413AB9">
                    <w:rPr>
                      <w:rFonts w:eastAsia="Times New Roman" w:cstheme="minorHAnsi"/>
                      <w:sz w:val="24"/>
                      <w:szCs w:val="24"/>
                    </w:rPr>
                    <w:t xml:space="preserve"> and can be viewed here: </w:t>
                  </w:r>
                  <w:hyperlink r:id="rId7" w:history="1">
                    <w:r w:rsidR="00413AB9" w:rsidRPr="00413AB9">
                      <w:rPr>
                        <w:color w:val="0000FF"/>
                        <w:u w:val="single"/>
                      </w:rPr>
                      <w:t>democratic.southoxon.gov.uk/ecCatDisplay.aspx?sch=doc&amp;cat=13195&amp;path=0</w:t>
                    </w:r>
                  </w:hyperlink>
                </w:p>
                <w:p w14:paraId="7356641C" w14:textId="77777777" w:rsidR="00C82F26" w:rsidRDefault="00C82F26" w:rsidP="0082726D">
                  <w:pPr>
                    <w:spacing w:line="240" w:lineRule="auto"/>
                    <w:rPr>
                      <w:rFonts w:ascii="Calibri" w:hAnsi="Calibri" w:cstheme="minorHAnsi"/>
                      <w:b/>
                      <w:color w:val="000000"/>
                      <w:sz w:val="24"/>
                      <w:szCs w:val="24"/>
                    </w:rPr>
                  </w:pPr>
                </w:p>
                <w:p w14:paraId="34680651" w14:textId="37592E6A" w:rsidR="00635737" w:rsidRPr="00413AB9" w:rsidRDefault="00635737" w:rsidP="0082726D">
                  <w:pPr>
                    <w:spacing w:line="240" w:lineRule="auto"/>
                    <w:rPr>
                      <w:rFonts w:ascii="Calibri" w:hAnsi="Calibri" w:cstheme="minorHAnsi"/>
                      <w:b/>
                      <w:color w:val="000000"/>
                      <w:sz w:val="24"/>
                      <w:szCs w:val="24"/>
                    </w:rPr>
                  </w:pPr>
                  <w:r w:rsidRPr="00413AB9">
                    <w:rPr>
                      <w:rFonts w:ascii="Calibri" w:hAnsi="Calibri" w:cstheme="minorHAnsi"/>
                      <w:b/>
                      <w:color w:val="000000"/>
                      <w:sz w:val="24"/>
                      <w:szCs w:val="24"/>
                    </w:rPr>
                    <w:t>CCTV</w:t>
                  </w:r>
                </w:p>
                <w:p w14:paraId="038FB986" w14:textId="77777777" w:rsidR="00BF095D" w:rsidRDefault="00635737" w:rsidP="0082726D">
                  <w:pPr>
                    <w:spacing w:line="240" w:lineRule="auto"/>
                  </w:pPr>
                  <w:r w:rsidRPr="00413AB9">
                    <w:rPr>
                      <w:rFonts w:ascii="Calibri" w:hAnsi="Calibri" w:cstheme="minorHAnsi"/>
                      <w:bCs/>
                      <w:color w:val="000000"/>
                      <w:sz w:val="24"/>
                      <w:szCs w:val="24"/>
                    </w:rPr>
                    <w:t xml:space="preserve">The Council’s CCTV reports have been published, detailing how CCTV is used in our town centres. In South Oxfordshire, CCTV was used to review 554 incidents, producing 59 evidence packs for possible court proceedings and </w:t>
                  </w:r>
                  <w:r w:rsidR="00413AB9">
                    <w:rPr>
                      <w:rFonts w:ascii="Calibri" w:hAnsi="Calibri" w:cstheme="minorHAnsi"/>
                      <w:bCs/>
                      <w:color w:val="000000"/>
                      <w:sz w:val="24"/>
                      <w:szCs w:val="24"/>
                    </w:rPr>
                    <w:t>supporting</w:t>
                  </w:r>
                  <w:r w:rsidRPr="00413AB9">
                    <w:rPr>
                      <w:rFonts w:ascii="Calibri" w:hAnsi="Calibri" w:cstheme="minorHAnsi"/>
                      <w:bCs/>
                      <w:color w:val="000000"/>
                      <w:sz w:val="24"/>
                      <w:szCs w:val="24"/>
                    </w:rPr>
                    <w:t xml:space="preserve"> 54 arrests.</w:t>
                  </w:r>
                  <w:r w:rsidR="00413AB9" w:rsidRPr="00413AB9">
                    <w:rPr>
                      <w:rFonts w:ascii="Calibri" w:hAnsi="Calibri" w:cstheme="minorHAnsi"/>
                      <w:bCs/>
                      <w:color w:val="000000"/>
                      <w:sz w:val="24"/>
                      <w:szCs w:val="24"/>
                    </w:rPr>
                    <w:t xml:space="preserve"> You can view the report here:</w:t>
                  </w:r>
                  <w:r w:rsidRPr="00413AB9">
                    <w:rPr>
                      <w:rFonts w:ascii="Calibri" w:hAnsi="Calibri" w:cstheme="minorHAnsi"/>
                      <w:bCs/>
                      <w:color w:val="000000"/>
                      <w:sz w:val="24"/>
                      <w:szCs w:val="24"/>
                    </w:rPr>
                    <w:br/>
                  </w:r>
                  <w:r w:rsidRPr="00413AB9">
                    <w:rPr>
                      <w:rFonts w:ascii="Calibri" w:hAnsi="Calibri" w:cstheme="minorHAnsi"/>
                      <w:bCs/>
                      <w:color w:val="000000"/>
                      <w:sz w:val="24"/>
                      <w:szCs w:val="24"/>
                    </w:rPr>
                    <w:br/>
                  </w:r>
                  <w:hyperlink r:id="rId8" w:history="1">
                    <w:r w:rsidR="00413AB9" w:rsidRPr="00413AB9">
                      <w:rPr>
                        <w:color w:val="0000FF"/>
                        <w:u w:val="single"/>
                      </w:rPr>
                      <w:t>Microsoft Word - South First Half 21-22 (southoxon.gov.uk)</w:t>
                    </w:r>
                  </w:hyperlink>
                  <w:r w:rsidR="00413AB9">
                    <w:t xml:space="preserve"> </w:t>
                  </w:r>
                </w:p>
                <w:p w14:paraId="53423016" w14:textId="35FB44EB" w:rsidR="00C82F26" w:rsidRPr="00C82F26" w:rsidRDefault="00C82F26" w:rsidP="0082726D">
                  <w:pPr>
                    <w:spacing w:line="240" w:lineRule="auto"/>
                  </w:pPr>
                </w:p>
              </w:tc>
            </w:tr>
          </w:tbl>
          <w:p w14:paraId="62E15330" w14:textId="77777777" w:rsidR="00BF095D" w:rsidRPr="00E068E4" w:rsidRDefault="00BF095D" w:rsidP="0082726D">
            <w:pPr>
              <w:spacing w:line="240" w:lineRule="auto"/>
              <w:rPr>
                <w:rFonts w:ascii="Calibri" w:hAnsi="Calibri" w:cstheme="minorHAnsi"/>
                <w:bCs/>
                <w:color w:val="000000"/>
                <w:sz w:val="24"/>
                <w:szCs w:val="24"/>
              </w:rPr>
            </w:pPr>
          </w:p>
        </w:tc>
      </w:tr>
    </w:tbl>
    <w:p w14:paraId="76D9C705" w14:textId="77777777" w:rsidR="00BF095D" w:rsidRDefault="00BF095D" w:rsidP="00BF095D">
      <w:pPr>
        <w:spacing w:line="240" w:lineRule="auto"/>
        <w:rPr>
          <w:rFonts w:cstheme="minorHAnsi"/>
          <w:b/>
          <w:bCs/>
          <w:color w:val="000000"/>
          <w:sz w:val="24"/>
          <w:szCs w:val="24"/>
        </w:rPr>
      </w:pPr>
      <w:r>
        <w:rPr>
          <w:rFonts w:cstheme="minorHAnsi"/>
          <w:b/>
          <w:bCs/>
          <w:color w:val="000000"/>
          <w:sz w:val="24"/>
          <w:szCs w:val="24"/>
        </w:rPr>
        <w:t>Planning Enforcement</w:t>
      </w:r>
    </w:p>
    <w:p w14:paraId="1BB4F06C" w14:textId="5F3F51C0" w:rsidR="00BF095D" w:rsidRDefault="00413AB9" w:rsidP="00BF095D">
      <w:pPr>
        <w:spacing w:line="240" w:lineRule="auto"/>
        <w:rPr>
          <w:rFonts w:cstheme="minorHAnsi"/>
          <w:color w:val="000000"/>
          <w:sz w:val="24"/>
          <w:szCs w:val="24"/>
        </w:rPr>
      </w:pPr>
      <w:r>
        <w:rPr>
          <w:rFonts w:cstheme="minorHAnsi"/>
          <w:color w:val="000000"/>
          <w:sz w:val="24"/>
          <w:szCs w:val="24"/>
        </w:rPr>
        <w:t>The updated</w:t>
      </w:r>
      <w:r w:rsidR="00BF095D">
        <w:rPr>
          <w:rFonts w:cstheme="minorHAnsi"/>
          <w:color w:val="000000"/>
          <w:sz w:val="24"/>
          <w:szCs w:val="24"/>
        </w:rPr>
        <w:t xml:space="preserve"> </w:t>
      </w:r>
      <w:r w:rsidR="00BF095D" w:rsidRPr="004B570D">
        <w:rPr>
          <w:rFonts w:cstheme="minorHAnsi"/>
          <w:b/>
          <w:bCs/>
          <w:color w:val="000000"/>
          <w:sz w:val="24"/>
          <w:szCs w:val="24"/>
        </w:rPr>
        <w:t>Planning Enforcement Statement</w:t>
      </w:r>
      <w:r>
        <w:rPr>
          <w:rFonts w:cstheme="minorHAnsi"/>
          <w:color w:val="000000"/>
          <w:sz w:val="24"/>
          <w:szCs w:val="24"/>
        </w:rPr>
        <w:t xml:space="preserve"> has been approved by Council. The statement</w:t>
      </w:r>
      <w:r w:rsidR="00BF095D">
        <w:rPr>
          <w:rFonts w:cstheme="minorHAnsi"/>
          <w:color w:val="000000"/>
          <w:sz w:val="24"/>
          <w:szCs w:val="24"/>
        </w:rPr>
        <w:t xml:space="preserve"> sets out the new approach to the triage and handling of complaints to improve efficiency</w:t>
      </w:r>
      <w:r>
        <w:rPr>
          <w:rFonts w:cstheme="minorHAnsi"/>
          <w:color w:val="000000"/>
          <w:sz w:val="24"/>
          <w:szCs w:val="24"/>
        </w:rPr>
        <w:t xml:space="preserve"> and</w:t>
      </w:r>
      <w:r w:rsidR="00BF095D">
        <w:rPr>
          <w:rFonts w:cstheme="minorHAnsi"/>
          <w:color w:val="000000"/>
          <w:sz w:val="24"/>
          <w:szCs w:val="24"/>
        </w:rPr>
        <w:t xml:space="preserve"> transparenc</w:t>
      </w:r>
      <w:r>
        <w:rPr>
          <w:rFonts w:cstheme="minorHAnsi"/>
          <w:color w:val="000000"/>
          <w:sz w:val="24"/>
          <w:szCs w:val="24"/>
        </w:rPr>
        <w:t>y</w:t>
      </w:r>
      <w:r w:rsidR="00FD4A37">
        <w:rPr>
          <w:rFonts w:cstheme="minorHAnsi"/>
          <w:color w:val="000000"/>
          <w:sz w:val="24"/>
          <w:szCs w:val="24"/>
        </w:rPr>
        <w:t xml:space="preserve"> and to help address the large backlog of complaints that has built up since the start of the pandemic.</w:t>
      </w:r>
      <w:r w:rsidR="00BF095D">
        <w:rPr>
          <w:rFonts w:cstheme="minorHAnsi"/>
          <w:color w:val="000000"/>
          <w:sz w:val="24"/>
          <w:szCs w:val="24"/>
        </w:rPr>
        <w:t xml:space="preserve"> The team currently </w:t>
      </w:r>
      <w:r w:rsidR="00FD4A37">
        <w:rPr>
          <w:rFonts w:cstheme="minorHAnsi"/>
          <w:color w:val="000000"/>
          <w:sz w:val="24"/>
          <w:szCs w:val="24"/>
        </w:rPr>
        <w:t xml:space="preserve">has some </w:t>
      </w:r>
      <w:r w:rsidR="00BF095D">
        <w:rPr>
          <w:rFonts w:cstheme="minorHAnsi"/>
          <w:color w:val="000000"/>
          <w:sz w:val="24"/>
          <w:szCs w:val="24"/>
        </w:rPr>
        <w:t xml:space="preserve">700 live investigations with 241 matters still unallocated across the two Councils. </w:t>
      </w:r>
    </w:p>
    <w:p w14:paraId="4550C3FE" w14:textId="6775B32D" w:rsidR="00FD4A37" w:rsidRDefault="00BF095D" w:rsidP="00BF095D">
      <w:pPr>
        <w:spacing w:line="240" w:lineRule="auto"/>
      </w:pPr>
      <w:r>
        <w:rPr>
          <w:rFonts w:cstheme="minorHAnsi"/>
          <w:color w:val="000000"/>
          <w:sz w:val="24"/>
          <w:szCs w:val="24"/>
        </w:rPr>
        <w:t xml:space="preserve">The Planning Enforcement Statement </w:t>
      </w:r>
      <w:r w:rsidR="00FD4A37">
        <w:rPr>
          <w:rFonts w:cstheme="minorHAnsi"/>
          <w:color w:val="000000"/>
          <w:sz w:val="24"/>
          <w:szCs w:val="24"/>
        </w:rPr>
        <w:t>was previously</w:t>
      </w:r>
      <w:r>
        <w:rPr>
          <w:rFonts w:cstheme="minorHAnsi"/>
          <w:color w:val="000000"/>
          <w:sz w:val="24"/>
          <w:szCs w:val="24"/>
        </w:rPr>
        <w:t xml:space="preserve"> been updated </w:t>
      </w:r>
      <w:r w:rsidR="00FD4A37">
        <w:rPr>
          <w:rFonts w:cstheme="minorHAnsi"/>
          <w:color w:val="000000"/>
          <w:sz w:val="24"/>
          <w:szCs w:val="24"/>
        </w:rPr>
        <w:t>in</w:t>
      </w:r>
      <w:r>
        <w:rPr>
          <w:rFonts w:cstheme="minorHAnsi"/>
          <w:color w:val="000000"/>
          <w:sz w:val="24"/>
          <w:szCs w:val="24"/>
        </w:rPr>
        <w:t xml:space="preserve"> 2016</w:t>
      </w:r>
      <w:r w:rsidR="00FD4A37">
        <w:rPr>
          <w:rFonts w:cstheme="minorHAnsi"/>
          <w:color w:val="000000"/>
          <w:sz w:val="24"/>
          <w:szCs w:val="24"/>
        </w:rPr>
        <w:t xml:space="preserve">. </w:t>
      </w:r>
      <w:r>
        <w:rPr>
          <w:rFonts w:cstheme="minorHAnsi"/>
          <w:color w:val="000000"/>
          <w:sz w:val="24"/>
          <w:szCs w:val="24"/>
        </w:rPr>
        <w:t xml:space="preserve">The new Enforcement Statement and approach will be subject to quarterly </w:t>
      </w:r>
      <w:r w:rsidR="00FD4A37">
        <w:rPr>
          <w:rFonts w:cstheme="minorHAnsi"/>
          <w:color w:val="000000"/>
          <w:sz w:val="24"/>
          <w:szCs w:val="24"/>
        </w:rPr>
        <w:t>appraisal</w:t>
      </w:r>
      <w:r>
        <w:rPr>
          <w:rFonts w:cstheme="minorHAnsi"/>
          <w:color w:val="000000"/>
          <w:sz w:val="24"/>
          <w:szCs w:val="24"/>
        </w:rPr>
        <w:t xml:space="preserve"> as part of the Council’s ongoing performance review process and the Statement itself will be reviewed after 12 months.</w:t>
      </w:r>
      <w:r w:rsidR="00FD4A37" w:rsidRPr="00FD4A37">
        <w:t xml:space="preserve"> </w:t>
      </w:r>
    </w:p>
    <w:p w14:paraId="123A262D" w14:textId="22CA489F" w:rsidR="00BF095D" w:rsidRDefault="008C3B4E" w:rsidP="00BF095D">
      <w:pPr>
        <w:spacing w:line="240" w:lineRule="auto"/>
        <w:rPr>
          <w:rFonts w:cstheme="minorHAnsi"/>
          <w:color w:val="000000"/>
          <w:sz w:val="24"/>
          <w:szCs w:val="24"/>
        </w:rPr>
      </w:pPr>
      <w:hyperlink r:id="rId9" w:history="1">
        <w:r w:rsidR="00FD4A37" w:rsidRPr="00FD4A37">
          <w:rPr>
            <w:color w:val="0000FF"/>
            <w:u w:val="single"/>
          </w:rPr>
          <w:t>Microsoft Word - 2021-12-17- Enforcement Statement Final (southandvale.gov.uk)</w:t>
        </w:r>
      </w:hyperlink>
    </w:p>
    <w:p w14:paraId="0CF81C6C" w14:textId="77777777" w:rsidR="00D94EB1" w:rsidRDefault="00D94EB1" w:rsidP="00BF095D">
      <w:pPr>
        <w:spacing w:line="240" w:lineRule="auto"/>
        <w:rPr>
          <w:rFonts w:cstheme="minorHAnsi"/>
          <w:b/>
          <w:bCs/>
          <w:color w:val="000000"/>
          <w:sz w:val="24"/>
          <w:szCs w:val="24"/>
        </w:rPr>
      </w:pPr>
    </w:p>
    <w:p w14:paraId="63620828" w14:textId="6D13001C" w:rsidR="00FD4A37" w:rsidRPr="00FD4A37" w:rsidRDefault="00FD4A37" w:rsidP="00BF095D">
      <w:pPr>
        <w:spacing w:line="240" w:lineRule="auto"/>
        <w:rPr>
          <w:rFonts w:cstheme="minorHAnsi"/>
          <w:b/>
          <w:bCs/>
          <w:color w:val="000000"/>
          <w:sz w:val="24"/>
          <w:szCs w:val="24"/>
        </w:rPr>
      </w:pPr>
      <w:r w:rsidRPr="00FD4A37">
        <w:rPr>
          <w:rFonts w:cstheme="minorHAnsi"/>
          <w:b/>
          <w:bCs/>
          <w:color w:val="000000"/>
          <w:sz w:val="24"/>
          <w:szCs w:val="24"/>
        </w:rPr>
        <w:t>New Gambling Policy</w:t>
      </w:r>
    </w:p>
    <w:p w14:paraId="62B65F0B" w14:textId="7FE94A76" w:rsidR="00FD4A37" w:rsidRDefault="000B161E" w:rsidP="00BF095D">
      <w:pPr>
        <w:spacing w:line="240" w:lineRule="auto"/>
        <w:rPr>
          <w:rFonts w:cstheme="minorHAnsi"/>
          <w:color w:val="000000"/>
          <w:sz w:val="24"/>
          <w:szCs w:val="24"/>
        </w:rPr>
      </w:pPr>
      <w:r>
        <w:rPr>
          <w:rFonts w:cstheme="minorHAnsi"/>
          <w:color w:val="000000"/>
          <w:sz w:val="24"/>
          <w:szCs w:val="24"/>
        </w:rPr>
        <w:t xml:space="preserve">At Full Council on 6 December, </w:t>
      </w:r>
      <w:r w:rsidR="00FD4A37">
        <w:rPr>
          <w:rFonts w:cstheme="minorHAnsi"/>
          <w:color w:val="000000"/>
          <w:sz w:val="24"/>
          <w:szCs w:val="24"/>
        </w:rPr>
        <w:t xml:space="preserve">Council also agreed a new gambling policy. A key change is the passing of a “No Casino” resolution meaning that applications for casinos will not be considered in the District. This was agreed on the basis that the district is not a suitable location for a casino, that casinos bring the potential for criminal exploitation and money </w:t>
      </w:r>
      <w:r w:rsidR="00FD4A37">
        <w:rPr>
          <w:rFonts w:cstheme="minorHAnsi"/>
          <w:color w:val="000000"/>
          <w:sz w:val="24"/>
          <w:szCs w:val="24"/>
        </w:rPr>
        <w:lastRenderedPageBreak/>
        <w:t xml:space="preserve">laundering and that casinos expose the vulnerable to the risk of gambling harm and problem gambling. </w:t>
      </w:r>
    </w:p>
    <w:p w14:paraId="33DA9917" w14:textId="77777777" w:rsidR="000B161E" w:rsidRDefault="000B161E" w:rsidP="00BF095D">
      <w:pPr>
        <w:spacing w:line="240" w:lineRule="auto"/>
        <w:rPr>
          <w:rFonts w:cstheme="minorHAnsi"/>
          <w:color w:val="000000"/>
          <w:sz w:val="24"/>
          <w:szCs w:val="24"/>
        </w:rPr>
      </w:pPr>
    </w:p>
    <w:p w14:paraId="4B9BE1D2" w14:textId="77777777" w:rsidR="00D94EB1" w:rsidRDefault="00D94EB1" w:rsidP="00BF095D">
      <w:pPr>
        <w:spacing w:line="240" w:lineRule="auto"/>
        <w:rPr>
          <w:rFonts w:cstheme="minorHAnsi"/>
          <w:color w:val="000000"/>
          <w:sz w:val="24"/>
          <w:szCs w:val="24"/>
        </w:rPr>
      </w:pPr>
    </w:p>
    <w:p w14:paraId="6D45A72B" w14:textId="3858BA9D" w:rsidR="00BF095D" w:rsidRPr="00D94EB1" w:rsidRDefault="00BF095D">
      <w:pPr>
        <w:rPr>
          <w:rFonts w:cstheme="minorHAnsi"/>
          <w:color w:val="000000"/>
          <w:sz w:val="24"/>
          <w:szCs w:val="24"/>
        </w:rPr>
      </w:pPr>
    </w:p>
    <w:p w14:paraId="3EFBEB02" w14:textId="77777777" w:rsidR="000066C4" w:rsidRPr="00D94EB1" w:rsidRDefault="000066C4">
      <w:pPr>
        <w:rPr>
          <w:rFonts w:cstheme="minorHAnsi"/>
          <w:color w:val="000000"/>
          <w:sz w:val="24"/>
          <w:szCs w:val="24"/>
        </w:rPr>
      </w:pPr>
    </w:p>
    <w:sectPr w:rsidR="000066C4" w:rsidRPr="00D94EB1">
      <w:pgSz w:w="11906" w:h="16838"/>
      <w:pgMar w:top="720" w:right="1440" w:bottom="533"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422E"/>
    <w:multiLevelType w:val="multilevel"/>
    <w:tmpl w:val="3B8E1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5D"/>
    <w:rsid w:val="000066C4"/>
    <w:rsid w:val="000B161E"/>
    <w:rsid w:val="000E28C9"/>
    <w:rsid w:val="0022197E"/>
    <w:rsid w:val="00413AB9"/>
    <w:rsid w:val="00635737"/>
    <w:rsid w:val="00642461"/>
    <w:rsid w:val="00712A0F"/>
    <w:rsid w:val="008907FB"/>
    <w:rsid w:val="008C3B4E"/>
    <w:rsid w:val="00B67FBB"/>
    <w:rsid w:val="00BF095D"/>
    <w:rsid w:val="00C82F26"/>
    <w:rsid w:val="00D94EB1"/>
    <w:rsid w:val="00FD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3D1F"/>
  <w15:chartTrackingRefBased/>
  <w15:docId w15:val="{AD3F8066-BF43-467E-BA03-1782BDF1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95D"/>
    <w:pPr>
      <w:suppressAutoHyphens/>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95D"/>
    <w:rPr>
      <w:color w:val="0563C1" w:themeColor="hyperlink"/>
      <w:u w:val="single"/>
    </w:rPr>
  </w:style>
  <w:style w:type="paragraph" w:customStyle="1" w:styleId="xmsonormal">
    <w:name w:val="x_msonormal"/>
    <w:basedOn w:val="Normal"/>
    <w:rsid w:val="00BF095D"/>
    <w:pPr>
      <w:suppressAutoHyphens w:val="0"/>
      <w:spacing w:after="0" w:line="240" w:lineRule="auto"/>
    </w:pPr>
    <w:rPr>
      <w:rFonts w:ascii="Calibri" w:eastAsiaTheme="minorHAnsi" w:hAnsi="Calibri" w:cs="Calibri"/>
      <w:lang w:eastAsia="en-GB"/>
    </w:rPr>
  </w:style>
  <w:style w:type="paragraph" w:customStyle="1" w:styleId="xxmsonormal">
    <w:name w:val="x_x_msonormal"/>
    <w:basedOn w:val="Normal"/>
    <w:rsid w:val="000066C4"/>
    <w:pPr>
      <w:suppressAutoHyphens w:val="0"/>
      <w:spacing w:after="0"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40709">
      <w:bodyDiv w:val="1"/>
      <w:marLeft w:val="0"/>
      <w:marRight w:val="0"/>
      <w:marTop w:val="0"/>
      <w:marBottom w:val="0"/>
      <w:divBdr>
        <w:top w:val="none" w:sz="0" w:space="0" w:color="auto"/>
        <w:left w:val="none" w:sz="0" w:space="0" w:color="auto"/>
        <w:bottom w:val="none" w:sz="0" w:space="0" w:color="auto"/>
        <w:right w:val="none" w:sz="0" w:space="0" w:color="auto"/>
      </w:divBdr>
    </w:div>
    <w:div w:id="1665208734">
      <w:bodyDiv w:val="1"/>
      <w:marLeft w:val="0"/>
      <w:marRight w:val="0"/>
      <w:marTop w:val="0"/>
      <w:marBottom w:val="0"/>
      <w:divBdr>
        <w:top w:val="none" w:sz="0" w:space="0" w:color="auto"/>
        <w:left w:val="none" w:sz="0" w:space="0" w:color="auto"/>
        <w:bottom w:val="none" w:sz="0" w:space="0" w:color="auto"/>
        <w:right w:val="none" w:sz="0" w:space="0" w:color="auto"/>
      </w:divBdr>
    </w:div>
    <w:div w:id="17630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oxon.gov.uk/wp-content/uploads/sites/2/2021/12/South-Oxfordshire-CCTV-performance-report-Q1-2-21-22.pdf" TargetMode="External"/><Relationship Id="rId3" Type="http://schemas.openxmlformats.org/officeDocument/2006/relationships/settings" Target="settings.xml"/><Relationship Id="rId7" Type="http://schemas.openxmlformats.org/officeDocument/2006/relationships/hyperlink" Target="http://democratic.southoxon.gov.uk/ecCatDisplay.aspx?sch=doc&amp;cat=13195&amp;pat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oxon.gov.uk/south-oxfordshire-district-council/recycling-rubbish-and-waste/garden-waste/" TargetMode="External"/><Relationship Id="rId11" Type="http://schemas.openxmlformats.org/officeDocument/2006/relationships/theme" Target="theme/theme1.xml"/><Relationship Id="rId5" Type="http://schemas.openxmlformats.org/officeDocument/2006/relationships/hyperlink" Target="https://www.southoxon.gov.uk/south-oxfordshire-district-council/coronavirus-community-support/household-support-fu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uthandvale.gov.uk/wp-content/uploads/2021/12/South-Oxfordshire-and-Vale-of-White-Horse-Enforcement-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Jo</dc:creator>
  <cp:keywords/>
  <dc:description/>
  <cp:lastModifiedBy>Karen Wheeler</cp:lastModifiedBy>
  <cp:revision>2</cp:revision>
  <cp:lastPrinted>2022-01-17T18:27:00Z</cp:lastPrinted>
  <dcterms:created xsi:type="dcterms:W3CDTF">2022-01-17T18:27:00Z</dcterms:created>
  <dcterms:modified xsi:type="dcterms:W3CDTF">2022-01-17T18:27:00Z</dcterms:modified>
</cp:coreProperties>
</file>